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hanging="0"/>
        <w:jc w:val="center"/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hanging="0"/>
        <w:jc w:val="both"/>
      </w:pPr>
      <w:r>
        <w:rPr>
          <w:b/>
          <w:bCs/>
          <w:color w:val="000000"/>
          <w:sz w:val="24"/>
        </w:rPr>
        <w:t>П</w:t>
      </w:r>
      <w:r>
        <w:rPr>
          <w:b/>
          <w:color w:val="000000"/>
          <w:sz w:val="24"/>
        </w:rPr>
        <w:t>ресс-релиз от 27 марта 2023 года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b/>
          <w:color w:val="000000"/>
          <w:sz w:val="24"/>
        </w:rPr>
        <w:t>Обеспечение томских льготников техническими средствами реабилитации и санаторно-курортным лечением: итоги работы</w:t>
      </w:r>
      <w:r/>
    </w:p>
    <w:p>
      <w:pPr>
        <w:pStyle w:val="Normal"/>
        <w:ind w:hanging="0"/>
        <w:jc w:val="both"/>
        <w:rPr>
          <w:b/>
          <w:b/>
          <w:bCs/>
          <w:color w:val="0000FF"/>
        </w:rPr>
      </w:pPr>
      <w:r>
        <w:rPr/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 xml:space="preserve">      </w:t>
      </w:r>
      <w:r>
        <w:rPr>
          <w:color w:val="000000"/>
          <w:sz w:val="24"/>
          <w:lang w:eastAsia="ru-RU"/>
        </w:rPr>
        <w:t>И</w:t>
      </w:r>
      <w:r>
        <w:rPr>
          <w:color w:val="000000"/>
          <w:sz w:val="24"/>
        </w:rPr>
        <w:t xml:space="preserve">тоги обеспечения томских льготников ТСР и санаторно-курортным лечением подвели на региональной научно-практической конференции в главном бюро Медико-социальной экспертизы по Томской области 21 марта. В мероприятии принял участие заместитель управляющего Отделения Социального фонда России по Томской области Дмитрий Панкратов. В ходе своего выступления он рассказал о состоянии и перспективах развития системы обеспечения техническими средствами реабилитации и санаторно-курортным лечением в 2023 году. 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 xml:space="preserve"> 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>Согласно данным, в 2022 году ОСФР по Томской области оформило 926 электронных сертификатов на общую сумму 13,6 миллионов рублей. Кроме того, за прошлый год региональным Отделением Социального фонда России было приобретено и выдано гражданам льготных категорий и сопровождающим их лицам 1375 санаторно-курортных путевок.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 xml:space="preserve">«Предварительно на 2023 год Отделению Социального фонда России по Томской области выделен бюджет на сумму 217 781 тысяч рублей, из которых 163 152 тысячи рублей — на выплату компенсаций (в т.ч. на электронный сертификат - 54 384 тысяч рублей). В настоящее время заключено 79 государственных контрактов для обеспечения инвалидов ТСР и протезно-ортопедическими изделиями в 2023 году. Направления на получение средств реабилитации гражданами выдаются в установленные сроки. Также выплачивается компенсация за самостоятельно приобретенные средства реабилитации», — сообщил Дмитрий Панкратов. 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 xml:space="preserve">Завершая свое выступление, эксперт добавил, что ОСФР по Томской области заключило 18 государственных контрактов с санаторно-курортными учреждениями, расположенными на территории региона и за его пределами. 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>Бюджет на предоставление гражданам льготных категорий санаторно-курортного лечения в 2023 году составил 38,2 миллионов руб. Планируется оздоровить 938 граждан льготной категории.</w:t>
      </w:r>
      <w:r/>
    </w:p>
    <w:p>
      <w:pPr>
        <w:pStyle w:val="Normal"/>
        <w:spacing w:lineRule="auto" w:line="240" w:before="0" w:after="0"/>
        <w:ind w:left="0" w:hanging="0"/>
        <w:jc w:val="both"/>
      </w:pPr>
      <w:r>
        <w:rPr>
          <w:color w:val="000000"/>
          <w:sz w:val="24"/>
        </w:rPr>
        <w:t>Напоминаем, что все технические средства реабилитации предоставляются инвалидам в соответствии с рекомендациями индивидуальных программ реабилитации или абилитации инвалида (ИПРА), разрабатываемыми учреждениями медико-социальной экспертизы. Подать заявление на сертификат можно через портал «Госуслуг» (</w:t>
      </w:r>
      <w:r>
        <w:rPr>
          <w:color w:val="0000FF"/>
          <w:sz w:val="24"/>
        </w:rPr>
        <w:t>www.gosuslugi.ru</w:t>
      </w:r>
      <w:r>
        <w:rPr>
          <w:color w:val="000000"/>
          <w:sz w:val="24"/>
        </w:rPr>
        <w:t>) или очно в ОСФР по Томской области, либо через МФЦ.</w:t>
      </w:r>
      <w:r/>
    </w:p>
    <w:p>
      <w:pPr>
        <w:pStyle w:val="Normal"/>
        <w:suppressAutoHyphens w:val="false"/>
        <w:jc w:val="both"/>
        <w:rPr>
          <w:lang w:eastAsia="ru-RU"/>
        </w:rPr>
      </w:pPr>
      <w:r>
        <w:rPr/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</w:pPr>
      <w:hyperlink r:id="rId3">
        <w:r>
          <w:rPr/>
        </w:r>
      </w:hyperlink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555D-81EF-4163-8906-F12418F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2023-03-27T17:05:08Z</dcterms:modified>
  <cp:revision>12</cp:revision>
  <dc:title>Отделение Пенсионного фонда РФ по Томской области</dc:title>
</cp:coreProperties>
</file>